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4DC"/>
  <w:body>
    <w:p>
      <w:pPr>
        <w:pStyle w:val="Title"/>
        <w:widowControl/>
      </w:pPr>
      <w:r>
        <w:t>Sales Process Setup Specification</w:t>
      </w:r>
    </w:p>
    <w:p>
      <w:pPr>
        <w:pStyle w:val="Subtitle"/>
        <w:widowControl/>
      </w:pPr>
      <w:r>
        <w:t>Version 1  26 October 2026</w:t>
      </w:r>
    </w:p>
    <w:p>
      <w:pPr>
        <w:widowControl/>
      </w:pPr>
      <w:r>
        <w:t>We configure your existing sales tools so enquiries have a clear owner, follow-ups are visible and your team can see which opportunities need attention. This specification defines the standard setup, delivery process and optional services.</w:t>
      </w:r>
    </w:p>
    <w:p>
      <w:pPr>
        <w:widowControl/>
      </w:pPr>
      <w:r>
        <w:rPr>
          <w:b/>
        </w:rPr>
        <w:t xml:space="preserve">Standard setup  </w:t>
      </w:r>
      <w:r>
        <w:t>£1,950 for one sales team of up to five users. VAT is added where applicable. Software subscriptions, hosting, usage and data-provider costs are agreed separately.</w:t>
      </w:r>
    </w:p>
    <w:p>
      <w:pPr>
        <w:pStyle w:val="Heading1"/>
        <w:widowControl/>
      </w:pPr>
      <w:r>
        <w:t>Included configuration</w:t>
      </w:r>
    </w:p>
    <w:tbl>
      <w:tblPr>
        <w:tblW w:type="auto" w:w="0"/>
        <w:jc w:val="center"/>
        <w:tblLayout w:type="fixed"/>
        <w:tblLook w:firstColumn="1" w:firstRow="1" w:lastColumn="0" w:lastRow="0" w:noHBand="0" w:noVBand="1" w:val="04A0"/>
      </w:tblPr>
      <w:tblGrid>
        <w:gridCol w:w="1973"/>
        <w:gridCol w:w="7862"/>
      </w:tblGrid>
      <w:tr>
        <w:trPr>
          <w:tblHeader/>
          <w:cantSplit/>
        </w:trPr>
        <w:tc>
          <w:tcPr>
            <w:tcW w:type="dxa" w:w="1973"/>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Item</w:t>
            </w:r>
          </w:p>
        </w:tc>
        <w:tc>
          <w:tcPr>
            <w:tcW w:type="dxa" w:w="7862"/>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Standard allowance</w:t>
            </w:r>
          </w:p>
        </w:tc>
      </w:tr>
      <w:tr>
        <w:trPr>
          <w:cantSplit/>
        </w:trPr>
        <w:tc>
          <w:tcPr>
            <w:tcW w:type="dxa" w:w="1973"/>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Team and pipeline</w:t>
            </w:r>
          </w:p>
        </w:tc>
        <w:tc>
          <w:tcPr>
            <w:tcW w:type="dxa" w:w="7862"/>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Up to five users of the configured sales process, one pipeline and up to six sales stages. Company headcount is separate from the user allowance.</w:t>
            </w:r>
          </w:p>
        </w:tc>
      </w:tr>
      <w:tr>
        <w:trPr>
          <w:cantSplit/>
        </w:trPr>
        <w:tc>
          <w:tcPr>
            <w:tcW w:type="dxa" w:w="1973"/>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Fields and access</w:t>
            </w:r>
          </w:p>
        </w:tc>
        <w:tc>
          <w:tcPr>
            <w:tcW w:type="dxa" w:w="7862"/>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Essential customer and opportunity fields, named ownership rules and standard access settings.</w:t>
            </w:r>
          </w:p>
        </w:tc>
      </w:tr>
      <w:tr>
        <w:trPr>
          <w:cantSplit/>
        </w:trPr>
        <w:tc>
          <w:tcPr>
            <w:tcW w:type="dxa" w:w="1973"/>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Workflows</w:t>
            </w:r>
          </w:p>
        </w:tc>
        <w:tc>
          <w:tcPr>
            <w:tcW w:type="dxa" w:w="7862"/>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Three agreed straightforward workflows, with triggers, rules, actions and failure handling documented.</w:t>
            </w:r>
          </w:p>
        </w:tc>
      </w:tr>
      <w:tr>
        <w:trPr>
          <w:cantSplit/>
        </w:trPr>
        <w:tc>
          <w:tcPr>
            <w:tcW w:type="dxa" w:w="1973"/>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Connected systems</w:t>
            </w:r>
          </w:p>
        </w:tc>
        <w:tc>
          <w:tcPr>
            <w:tcW w:type="dxa" w:w="7862"/>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One CRM plus one additional business system through a standard supported integration. Make, Zapier or n8n may act as the bridge without counting as another business system.</w:t>
            </w:r>
          </w:p>
        </w:tc>
      </w:tr>
      <w:tr>
        <w:trPr>
          <w:cantSplit/>
        </w:trPr>
        <w:tc>
          <w:tcPr>
            <w:tcW w:type="dxa" w:w="1973"/>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Data import</w:t>
            </w:r>
          </w:p>
        </w:tc>
        <w:tc>
          <w:tcPr>
            <w:tcW w:type="dxa" w:w="7862"/>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One Excel or CSV file containing up to 250 data rows, subject to a sample check. Existing CRM records can be used directly.</w:t>
            </w:r>
          </w:p>
        </w:tc>
      </w:tr>
      <w:tr>
        <w:trPr>
          <w:cantSplit/>
        </w:trPr>
        <w:tc>
          <w:tcPr>
            <w:tcW w:type="dxa" w:w="1973"/>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Reporting</w:t>
            </w:r>
          </w:p>
        </w:tc>
        <w:tc>
          <w:tcPr>
            <w:tcW w:type="dxa" w:w="7862"/>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One dashboard with up to six standard reports or views, using the CRM reporting features available in your software plan.</w:t>
            </w:r>
          </w:p>
        </w:tc>
      </w:tr>
    </w:tbl>
    <w:p>
      <w:pPr>
        <w:widowControl/>
        <w:spacing w:after="0"/>
      </w:pPr>
    </w:p>
    <w:p>
      <w:pPr>
        <w:pStyle w:val="Heading1"/>
        <w:widowControl/>
      </w:pPr>
      <w:r>
        <w:t>Default workflows</w:t>
      </w:r>
    </w:p>
    <w:tbl>
      <w:tblPr>
        <w:tblW w:type="auto" w:w="0"/>
        <w:jc w:val="center"/>
        <w:tblLayout w:type="fixed"/>
        <w:tblLook w:firstColumn="1" w:firstRow="1" w:lastColumn="0" w:lastRow="0" w:noHBand="0" w:noVBand="1" w:val="04A0"/>
      </w:tblPr>
      <w:tblGrid>
        <w:gridCol w:w="2376"/>
        <w:gridCol w:w="7459"/>
      </w:tblGrid>
      <w:tr>
        <w:trPr>
          <w:tblHeader/>
          <w:cantSplit/>
        </w:trPr>
        <w:tc>
          <w:tcPr>
            <w:tcW w:type="dxa" w:w="2376"/>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Workflow</w:t>
            </w:r>
          </w:p>
        </w:tc>
        <w:tc>
          <w:tcPr>
            <w:tcW w:type="dxa" w:w="7459"/>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Trigger and result</w:t>
            </w:r>
          </w:p>
        </w:tc>
      </w:tr>
      <w:tr>
        <w:trPr>
          <w:cantSplit/>
        </w:trPr>
        <w:tc>
          <w:tcPr>
            <w:tcW w:type="dxa" w:w="2376"/>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New enquiry ownership</w:t>
            </w:r>
          </w:p>
        </w:tc>
        <w:tc>
          <w:tcPr>
            <w:tcW w:type="dxa" w:w="7459"/>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An enquiry enters the agreed CRM process; assign an owner and create the first contact task.</w:t>
            </w:r>
          </w:p>
        </w:tc>
      </w:tr>
      <w:tr>
        <w:trPr>
          <w:cantSplit/>
        </w:trPr>
        <w:tc>
          <w:tcPr>
            <w:tcW w:type="dxa" w:w="2376"/>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Proposal follow-up</w:t>
            </w:r>
          </w:p>
        </w:tc>
        <w:tc>
          <w:tcPr>
            <w:tcW w:type="dxa" w:w="7459"/>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An opportunity moves to Proposal sent; create a follow-up task with an agreed deadline.</w:t>
            </w:r>
          </w:p>
        </w:tc>
      </w:tr>
      <w:tr>
        <w:trPr>
          <w:cantSplit/>
        </w:trPr>
        <w:tc>
          <w:tcPr>
            <w:tcW w:type="dxa" w:w="2376"/>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Overdue follow-up alert</w:t>
            </w:r>
          </w:p>
        </w:tc>
        <w:tc>
          <w:tcPr>
            <w:tcW w:type="dxa" w:w="7459"/>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An open follow-up passes its deadline; notify the responsible person or manager through the agreed channel.</w:t>
            </w:r>
          </w:p>
        </w:tc>
      </w:tr>
    </w:tbl>
    <w:p>
      <w:pPr>
        <w:widowControl/>
        <w:spacing w:after="0"/>
      </w:pPr>
    </w:p>
    <w:p>
      <w:pPr>
        <w:widowControl/>
      </w:pPr>
      <w:r>
        <w:t>An equivalent workflow swap can be agreed before quoting after assessing the work involved. These workflows create internal tasks and alerts. Customer-facing email campaigns receive a separate scope. Pipeline, fields and dashboard setup do not count as extra workflows.</w:t>
      </w:r>
    </w:p>
    <w:p>
      <w:pPr>
        <w:widowControl/>
      </w:pPr>
      <w:r>
        <w:br w:type="page"/>
      </w:r>
    </w:p>
    <w:p>
      <w:pPr>
        <w:pStyle w:val="Heading1"/>
        <w:widowControl/>
      </w:pPr>
      <w:r>
        <w:t>Data and reporting</w:t>
      </w:r>
    </w:p>
    <w:p>
      <w:pPr>
        <w:widowControl/>
      </w:pPr>
      <w:r>
        <w:t>The import includes agreed field mapping, minor formatting corrections and flagging obvious duplicates for your confirmation. We test a small batch and check the completed import. The 250-row allowance applies to the setup import; it does not limit the records your CRM can hold or the existing records the configured process can use.</w:t>
      </w:r>
    </w:p>
    <w:p>
      <w:pPr>
        <w:widowControl/>
      </w:pPr>
      <w:r>
        <w:t>The dashboard covers open opportunities, open pipeline value, opportunities by stage, follow-ups due today, overdue follow-ups, and won deals and value for an agreed period. Filters and links to underlying records are included where supported. We check software-plan suitability before quoting.</w:t>
      </w:r>
    </w:p>
    <w:p>
      <w:pPr>
        <w:pStyle w:val="Heading1"/>
        <w:widowControl/>
      </w:pPr>
      <w:r>
        <w:t>Discovery and delivery</w:t>
      </w:r>
    </w:p>
    <w:p>
      <w:pPr>
        <w:pStyle w:val="ListNumber"/>
        <w:widowControl/>
      </w:pPr>
      <w:r>
        <w:t>Free 15-minute fit call to understand your problem, current tools and team size.</w:t>
      </w:r>
    </w:p>
    <w:p>
      <w:pPr>
        <w:pStyle w:val="ListNumber"/>
        <w:widowControl/>
      </w:pPr>
      <w:r>
        <w:t>Suitability check before quoting, including workflows, connections, required subscriptions and a small anonymised data sample where relevant.</w:t>
      </w:r>
    </w:p>
    <w:p>
      <w:pPr>
        <w:pStyle w:val="ListNumber"/>
        <w:widowControl/>
      </w:pPr>
      <w:r>
        <w:t>Written proposal and booking payment confirming the package boundaries, price and proposed delivery slot.</w:t>
      </w:r>
    </w:p>
    <w:p>
      <w:pPr>
        <w:pStyle w:val="ListNumber"/>
        <w:widowControl/>
      </w:pPr>
      <w:r>
        <w:t>Included 90-minute working session after booking to map stages, fields, ownership, workflow details and dashboard requirements.</w:t>
      </w:r>
    </w:p>
    <w:p>
      <w:pPr>
        <w:pStyle w:val="ListNumber"/>
        <w:widowControl/>
      </w:pPr>
      <w:r>
        <w:t>Your approval of the written configuration plan before we change your systems. Requirements beyond the package are separately quoted.</w:t>
      </w:r>
    </w:p>
    <w:p>
      <w:pPr>
        <w:widowControl/>
      </w:pPr>
      <w:r>
        <w:t>Our delivery target is ten working days for configuration, testing, the revision round, training and handover. We confirm dates once the configuration plan is approved, booking payment is received, access and subscriptions are available, any import file is accepted and one authorised customer decision-maker is named. Decisions and consolidated feedback are requested within two working days. We explain customer delays and agree revised completion dates; larger projects have their own timetable.</w:t>
      </w:r>
    </w:p>
    <w:p>
      <w:pPr>
        <w:pStyle w:val="Heading1"/>
        <w:widowControl/>
      </w:pPr>
      <w:r>
        <w:t>Review and acceptance</w:t>
      </w:r>
    </w:p>
    <w:p>
      <w:pPr>
        <w:widowControl/>
      </w:pPr>
      <w:r>
        <w:t>We test ownership, workflows, imported data, access settings and dashboard figures against the written scope. The package includes one customer review walkthrough, one consolidated round of in-scope adjustments, and final checks and sign-off. Fixing our implementation errors does not consume the revision round.</w:t>
      </w:r>
    </w:p>
    <w:p>
      <w:pPr>
        <w:pStyle w:val="Heading1"/>
        <w:widowControl/>
      </w:pPr>
      <w:r>
        <w:t>Payment</w:t>
      </w:r>
    </w:p>
    <w:tbl>
      <w:tblPr>
        <w:tblW w:type="auto" w:w="0"/>
        <w:jc w:val="center"/>
        <w:tblLayout w:type="fixed"/>
        <w:tblLook w:firstColumn="1" w:firstRow="1" w:lastColumn="0" w:lastRow="0" w:noHBand="0" w:noVBand="1" w:val="04A0"/>
      </w:tblPr>
      <w:tblGrid>
        <w:gridCol w:w="1973"/>
        <w:gridCol w:w="7862"/>
      </w:tblGrid>
      <w:tr>
        <w:trPr>
          <w:tblHeader/>
          <w:cantSplit/>
        </w:trPr>
        <w:tc>
          <w:tcPr>
            <w:tcW w:type="dxa" w:w="1973"/>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Stage</w:t>
            </w:r>
          </w:p>
        </w:tc>
        <w:tc>
          <w:tcPr>
            <w:tcW w:type="dxa" w:w="7862"/>
            <w:vAlign w:val="center"/>
            <w:shd w:fill="F35C40"/>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color w:val="242726"/>
                <w:sz w:val="19"/>
              </w:rPr>
              <w:t>Amount and timing</w:t>
            </w:r>
          </w:p>
        </w:tc>
      </w:tr>
      <w:tr>
        <w:trPr>
          <w:cantSplit/>
        </w:trPr>
        <w:tc>
          <w:tcPr>
            <w:tcW w:type="dxa" w:w="1973"/>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Booking</w:t>
            </w:r>
          </w:p>
        </w:tc>
        <w:tc>
          <w:tcPr>
            <w:tcW w:type="dxa" w:w="7862"/>
            <w:vAlign w:val="center"/>
            <w:shd w:fill="FFF9E9"/>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£975 before work starts, once the written proposal is approved and the delivery slot booked.</w:t>
            </w:r>
          </w:p>
        </w:tc>
      </w:tr>
      <w:tr>
        <w:trPr>
          <w:cantSplit/>
        </w:trPr>
        <w:tc>
          <w:tcPr>
            <w:tcW w:type="dxa" w:w="1973"/>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Balance</w:t>
            </w:r>
          </w:p>
        </w:tc>
        <w:tc>
          <w:tcPr>
            <w:tcW w:type="dxa" w:w="7862"/>
            <w:vAlign w:val="center"/>
            <w:shd w:fill="FFF4DC"/>
            <w:tcBorders>
              <w:top w:val="single" w:sz="5" w:color="242726"/>
              <w:left w:val="single" w:sz="5" w:color="242726"/>
              <w:bottom w:val="single" w:sz="5" w:color="242726"/>
              <w:right w:val="single" w:sz="5" w:color="242726"/>
            </w:tcBorders>
            <w:tcMar>
              <w:top w:w="85" w:type="dxa"/>
              <w:bottom w:w="85" w:type="dxa"/>
              <w:left w:w="100" w:type="dxa"/>
              <w:right w:w="100" w:type="dxa"/>
            </w:tcMar>
          </w:tcPr>
          <w:p>
            <w:pPr>
              <w:keepNext w:val="0"/>
              <w:widowControl/>
              <w:spacing w:after="20" w:before="20" w:line="252" w:lineRule="auto"/>
            </w:pPr>
            <w:r>
              <w:rPr>
                <w:rFonts w:ascii="Arial" w:hAnsi="Arial"/>
                <w:b w:val="0"/>
                <w:color w:val="242726"/>
                <w:sz w:val="19"/>
              </w:rPr>
              <w:t>£975 after acceptance checks pass, agreed revisions are completed and you sign off by email against the checklist. Payable within seven calendar days of the final invoice.</w:t>
            </w:r>
          </w:p>
        </w:tc>
      </w:tr>
    </w:tbl>
    <w:p>
      <w:pPr>
        <w:widowControl/>
        <w:spacing w:after="0"/>
      </w:pPr>
    </w:p>
    <w:p>
      <w:pPr>
        <w:widowControl/>
      </w:pPr>
      <w:r>
        <w:t>Additional work and its price require your agreement before we proceed. Customer-owned subscriptions are paid directly where practical. VAT is added where applicable.</w:t>
      </w:r>
    </w:p>
    <w:p>
      <w:pPr>
        <w:widowControl/>
      </w:pPr>
      <w:r>
        <w:br w:type="page"/>
      </w:r>
    </w:p>
    <w:p>
      <w:pPr>
        <w:pStyle w:val="Heading1"/>
        <w:widowControl/>
      </w:pPr>
      <w:r>
        <w:t>Training and handover</w:t>
      </w:r>
    </w:p>
    <w:p>
      <w:pPr>
        <w:widowControl/>
      </w:pPr>
      <w:r>
        <w:t>We provide one 60-minute remote group training session for the five included users, covering the configured pipeline, tasks, workflows and dashboard. A recording is provided where you agree. You receive a short operating guide covering everyday use, ownership, workflow behaviour and problem reporting.</w:t>
      </w:r>
    </w:p>
    <w:p>
      <w:pPr>
        <w:widowControl/>
      </w:pPr>
      <w:r>
        <w:t>The administrator handover identifies where configuration lives, which subscriptions it depends on and who controls the accounts. You retain control of your accounts and data. Broader CRM training, extra sessions and future-employee onboarding are separately quoted.</w:t>
      </w:r>
    </w:p>
    <w:p>
      <w:pPr>
        <w:pStyle w:val="Heading1"/>
        <w:widowControl/>
      </w:pPr>
      <w:r>
        <w:t>Included post launch support</w:t>
      </w:r>
    </w:p>
    <w:p>
      <w:pPr>
        <w:widowControl/>
      </w:pPr>
      <w:r>
        <w:t>For 30 calendar days from the agreed go-live date, we fix faults where our configuration does not meet the agreed specification at no charge. A fault reported within that period remains covered if resolving it takes longer. There is no two-hour cap on correcting our implementation faults.</w:t>
      </w:r>
    </w:p>
    <w:p>
      <w:pPr>
        <w:widowControl/>
      </w:pPr>
      <w:r>
        <w:t>Requests use one agreed support email address. We target an initial response within two working days, Monday to Friday during UK business hours. This is a response target; resolution depends on the issue. New features, extra training, customer changes and repairs caused by third-party platform changes are assessed separately, with any charge agreed before work.</w:t>
      </w:r>
    </w:p>
    <w:p>
      <w:pPr>
        <w:pStyle w:val="Heading1"/>
        <w:widowControl/>
      </w:pPr>
      <w:r>
        <w:t>Optional ongoing care</w:t>
      </w:r>
    </w:p>
    <w:p>
      <w:pPr>
        <w:widowControl/>
      </w:pPr>
      <w:r>
        <w:t>£295 per month, plus VAT where applicable, includes one monthly check of the delivered workflows and connections, a short findings update, and up to two hours total for checks, investigation, minor fixes, small changes, testing and related calls. We keep a simple work and time record. Requests use one support email address with a two-working-day initial response target during UK business hours.</w:t>
      </w:r>
    </w:p>
    <w:p>
      <w:pPr>
        <w:widowControl/>
      </w:pPr>
      <w:r>
        <w:t>Care is paid monthly in advance, with no minimum term. Unused hours expire each month. Cancellation requested before renewal takes effect at the end of the paid month. Extra work requires an agreed price; software and usage costs remain separate. Care normally begins after the included support period. Fault fixes already covered by that support never consume the paid allowance. Continuous monitoring is outside this service.</w:t>
      </w:r>
    </w:p>
    <w:p>
      <w:pPr>
        <w:pStyle w:val="Heading1"/>
        <w:widowControl/>
      </w:pPr>
      <w:r>
        <w:t>Optional prospect research</w:t>
      </w:r>
    </w:p>
    <w:p>
      <w:pPr>
        <w:widowControl/>
      </w:pPr>
      <w:r>
        <w:t>Prospect Research and Data Preparation starts from £495, plus agreed data-provider costs and VAT where applicable. We agree the quantity, required fields, source permissions and quality checks after reviewing a small sample and before quoting. The work prepares targeted business and contact records; qualified leads, appointments and campaign sending are outside this service. Research is separate from the £1,950 setup. A list fitting within the setup’s total 250-row import allowance is imported without a second import charge.</w:t>
      </w:r>
    </w:p>
    <w:p>
      <w:pPr>
        <w:pStyle w:val="Heading1"/>
        <w:widowControl/>
      </w:pPr>
      <w:r>
        <w:t>Separately scoped work</w:t>
      </w:r>
    </w:p>
    <w:p>
      <w:pPr>
        <w:widowControl/>
      </w:pPr>
      <w:r>
        <w:t>Separate quotations cover bespoke systems, extra teams or pipelines, more workflows or connected systems, custom-built integrations, continuous two-way synchronisation, complex permissions, extensive data cleanup or combined databases, historical email or attachment transfers, advanced forecasting, reporting across databases, and separate reporting applications. Compatibility and required subscriptions are checked before quoting.</w:t>
      </w:r>
    </w:p>
    <w:sectPr w:rsidR="00FC693F" w:rsidRPr="0006063C" w:rsidSect="00034616">
      <w:headerReference w:type="default" r:id="rId9"/>
      <w:footerReference w:type="default" r:id="rId10"/>
      <w:pgSz w:w="11909" w:h="16834"/>
      <w:pgMar w:top="1037" w:right="1037" w:bottom="922" w:left="1037"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rFonts w:ascii="Arial" w:hAnsi="Arial"/>
        <w:color w:val="57594E"/>
        <w:sz w:val="16"/>
      </w:rPr>
      <w:t xml:space="preserve">Sales Process Setup  |  Version 1  |  26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2057400" cy="349008"/>
          <wp:docPr id="1" name="Picture 1" descr="Selling Sidekick wordmark"/>
          <wp:cNvGraphicFramePr>
            <a:graphicFrameLocks noChangeAspect="1"/>
          </wp:cNvGraphicFramePr>
          <a:graphic>
            <a:graphicData uri="http://schemas.openxmlformats.org/drawingml/2006/picture">
              <pic:pic>
                <pic:nvPicPr>
                  <pic:cNvPr id="0" name="studio-wordmark.png"/>
                  <pic:cNvPicPr/>
                </pic:nvPicPr>
                <pic:blipFill>
                  <a:blip r:embed="rId1"/>
                  <a:stretch>
                    <a:fillRect/>
                  </a:stretch>
                </pic:blipFill>
                <pic:spPr>
                  <a:xfrm>
                    <a:off x="0" y="0"/>
                    <a:ext cx="2057400" cy="34900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Arial" w:hAnsi="Arial"/>
      <w:color w:val="2427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24272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24272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Black" w:hAnsi="Arial Black"/>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Black" w:hAnsi="Arial Black"/>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427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2427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2726"/>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2726"/>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242726"/>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242726"/>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24272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242726"/>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before="0"/>
      <w:contextualSpacing/>
    </w:pPr>
    <w:rPr>
      <w:rFonts w:asciiTheme="majorHAnsi" w:eastAsiaTheme="majorEastAsia" w:hAnsiTheme="majorHAnsi" w:cstheme="majorBidi" w:ascii="Arial Black" w:hAnsi="Arial Black"/>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57594E"/>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242726"/>
    </w:rPr>
  </w:style>
  <w:style w:type="paragraph" w:styleId="BodyText">
    <w:name w:val="Body Text"/>
    <w:basedOn w:val="Normal"/>
    <w:link w:val="BodyTextChar"/>
    <w:uiPriority w:val="99"/>
    <w:unhideWhenUsed/>
    <w:rsid w:val="00AA1D8D"/>
    <w:pPr>
      <w:spacing w:after="120"/>
    </w:pPr>
    <w:rPr>
      <w:rFonts w:ascii="Arial" w:hAnsi="Arial"/>
      <w:color w:val="242726"/>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242726"/>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242726"/>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242726"/>
    </w:rPr>
  </w:style>
  <w:style w:type="paragraph" w:styleId="List2">
    <w:name w:val="List 2"/>
    <w:basedOn w:val="Normal"/>
    <w:uiPriority w:val="99"/>
    <w:unhideWhenUsed/>
    <w:rsid w:val="00326F90"/>
    <w:pPr>
      <w:ind w:left="720" w:hanging="360"/>
      <w:contextualSpacing/>
    </w:pPr>
    <w:rPr>
      <w:rFonts w:ascii="Arial" w:hAnsi="Arial"/>
      <w:color w:val="242726"/>
    </w:rPr>
  </w:style>
  <w:style w:type="paragraph" w:styleId="List3">
    <w:name w:val="List 3"/>
    <w:basedOn w:val="Normal"/>
    <w:uiPriority w:val="99"/>
    <w:unhideWhenUsed/>
    <w:rsid w:val="00326F90"/>
    <w:pPr>
      <w:ind w:left="1080" w:hanging="360"/>
      <w:contextualSpacing/>
    </w:pPr>
    <w:rPr>
      <w:rFonts w:ascii="Arial" w:hAnsi="Arial"/>
      <w:color w:val="242726"/>
    </w:rPr>
  </w:style>
  <w:style w:type="paragraph" w:styleId="ListBullet">
    <w:name w:val="List Bullet"/>
    <w:basedOn w:val="Normal"/>
    <w:uiPriority w:val="99"/>
    <w:unhideWhenUsed/>
    <w:rsid w:val="00326F90"/>
    <w:pPr>
      <w:numPr>
        <w:numId w:val="1"/>
      </w:numPr>
      <w:contextualSpacing/>
    </w:pPr>
    <w:rPr>
      <w:rFonts w:ascii="Arial" w:hAnsi="Arial"/>
      <w:color w:val="242726"/>
    </w:rPr>
  </w:style>
  <w:style w:type="paragraph" w:styleId="ListBullet2">
    <w:name w:val="List Bullet 2"/>
    <w:basedOn w:val="Normal"/>
    <w:uiPriority w:val="99"/>
    <w:unhideWhenUsed/>
    <w:rsid w:val="00326F90"/>
    <w:pPr>
      <w:numPr>
        <w:numId w:val="2"/>
      </w:numPr>
      <w:contextualSpacing/>
    </w:pPr>
    <w:rPr>
      <w:rFonts w:ascii="Arial" w:hAnsi="Arial"/>
      <w:color w:val="242726"/>
    </w:rPr>
  </w:style>
  <w:style w:type="paragraph" w:styleId="ListBullet3">
    <w:name w:val="List Bullet 3"/>
    <w:basedOn w:val="Normal"/>
    <w:uiPriority w:val="99"/>
    <w:unhideWhenUsed/>
    <w:rsid w:val="00326F90"/>
    <w:pPr>
      <w:numPr>
        <w:numId w:val="3"/>
      </w:numPr>
      <w:contextualSpacing/>
    </w:pPr>
    <w:rPr>
      <w:rFonts w:ascii="Arial" w:hAnsi="Arial"/>
      <w:color w:val="242726"/>
    </w:rPr>
  </w:style>
  <w:style w:type="paragraph" w:styleId="ListNumber">
    <w:name w:val="List Number"/>
    <w:basedOn w:val="Normal"/>
    <w:uiPriority w:val="99"/>
    <w:unhideWhenUsed/>
    <w:rsid w:val="00326F90"/>
    <w:pPr>
      <w:numPr>
        <w:numId w:val="5"/>
      </w:numPr>
      <w:contextualSpacing/>
    </w:pPr>
    <w:rPr>
      <w:rFonts w:ascii="Arial" w:hAnsi="Arial"/>
      <w:color w:val="242726"/>
    </w:rPr>
  </w:style>
  <w:style w:type="paragraph" w:styleId="ListNumber2">
    <w:name w:val="List Number 2"/>
    <w:basedOn w:val="Normal"/>
    <w:uiPriority w:val="99"/>
    <w:unhideWhenUsed/>
    <w:rsid w:val="0029639D"/>
    <w:pPr>
      <w:numPr>
        <w:numId w:val="6"/>
      </w:numPr>
      <w:contextualSpacing/>
    </w:pPr>
    <w:rPr>
      <w:rFonts w:ascii="Arial" w:hAnsi="Arial"/>
      <w:color w:val="242726"/>
    </w:rPr>
  </w:style>
  <w:style w:type="paragraph" w:styleId="ListNumber3">
    <w:name w:val="List Number 3"/>
    <w:basedOn w:val="Normal"/>
    <w:uiPriority w:val="99"/>
    <w:unhideWhenUsed/>
    <w:rsid w:val="0029639D"/>
    <w:pPr>
      <w:numPr>
        <w:numId w:val="7"/>
      </w:numPr>
      <w:contextualSpacing/>
    </w:pPr>
    <w:rPr>
      <w:rFonts w:ascii="Arial" w:hAnsi="Arial"/>
      <w:color w:val="242726"/>
    </w:rPr>
  </w:style>
  <w:style w:type="paragraph" w:styleId="ListContinue">
    <w:name w:val="List Continue"/>
    <w:basedOn w:val="Normal"/>
    <w:uiPriority w:val="99"/>
    <w:unhideWhenUsed/>
    <w:rsid w:val="0029639D"/>
    <w:pPr>
      <w:spacing w:after="120"/>
      <w:ind w:left="360"/>
      <w:contextualSpacing/>
    </w:pPr>
    <w:rPr>
      <w:rFonts w:ascii="Arial" w:hAnsi="Arial"/>
      <w:color w:val="242726"/>
    </w:rPr>
  </w:style>
  <w:style w:type="paragraph" w:styleId="ListContinue2">
    <w:name w:val="List Continue 2"/>
    <w:basedOn w:val="Normal"/>
    <w:uiPriority w:val="99"/>
    <w:unhideWhenUsed/>
    <w:rsid w:val="0029639D"/>
    <w:pPr>
      <w:spacing w:after="120"/>
      <w:ind w:left="720"/>
      <w:contextualSpacing/>
    </w:pPr>
    <w:rPr>
      <w:rFonts w:ascii="Arial" w:hAnsi="Arial"/>
      <w:color w:val="242726"/>
    </w:rPr>
  </w:style>
  <w:style w:type="paragraph" w:styleId="ListContinue3">
    <w:name w:val="List Continue 3"/>
    <w:basedOn w:val="Normal"/>
    <w:uiPriority w:val="99"/>
    <w:unhideWhenUsed/>
    <w:rsid w:val="0029639D"/>
    <w:pPr>
      <w:spacing w:after="120"/>
      <w:ind w:left="1080"/>
      <w:contextualSpacing/>
    </w:pPr>
    <w:rPr>
      <w:rFonts w:ascii="Arial" w:hAnsi="Arial"/>
      <w:color w:val="242726"/>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242726"/>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242726"/>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24272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242726"/>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242726"/>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Process Setup Specification</dc:title>
  <dc:subject/>
  <dc:creator>Selling Sidekick Limited</dc:creator>
  <cp:keywords/>
  <dc:description>generated by python-docx</dc:description>
  <cp:lastModifiedBy>Selling Sidekick Limited</cp:lastModifiedBy>
  <cp:revision>1</cp:revision>
  <dcterms:created xsi:type="dcterms:W3CDTF">2013-12-23T23:15:00Z</dcterms:created>
  <dcterms:modified xsi:type="dcterms:W3CDTF">2013-12-23T23:15:00Z</dcterms:modified>
  <cp:category/>
</cp:coreProperties>
</file>